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AA4354">
            <w:pPr>
              <w:jc w:val="right"/>
            </w:pPr>
            <w:r w:rsidRPr="003219C8">
              <w:t xml:space="preserve">Протокол  № </w:t>
            </w:r>
            <w:r w:rsidR="00AA4354">
              <w:t>277</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AA4354">
            <w:pPr>
              <w:jc w:val="right"/>
            </w:pPr>
            <w:r w:rsidRPr="003219C8">
              <w:t>«</w:t>
            </w:r>
            <w:r w:rsidR="00AA4354">
              <w:t>25</w:t>
            </w:r>
            <w:r w:rsidRPr="003219C8">
              <w:t xml:space="preserve">» </w:t>
            </w:r>
            <w:r w:rsidR="00AA4354">
              <w:t>октября</w:t>
            </w:r>
            <w:r w:rsidRPr="003219C8">
              <w:t xml:space="preserve">  </w:t>
            </w:r>
            <w:r>
              <w:t>20</w:t>
            </w:r>
            <w:r w:rsidR="00AA4354">
              <w:t>22</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AA4354">
        <w:t xml:space="preserve">639-СС-2022 </w:t>
      </w:r>
      <w:r w:rsidRPr="003219C8">
        <w:t>от «</w:t>
      </w:r>
      <w:r w:rsidR="00AA4354">
        <w:t>25</w:t>
      </w:r>
      <w:r w:rsidRPr="003219C8">
        <w:t xml:space="preserve">» </w:t>
      </w:r>
      <w:r w:rsidR="00AA4354">
        <w:t xml:space="preserve">октября </w:t>
      </w:r>
      <w:r w:rsidRPr="003219C8">
        <w:t>20</w:t>
      </w:r>
      <w:r w:rsidR="00AA4354">
        <w:t>22</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w:t>
      </w:r>
      <w:proofErr w:type="spellStart"/>
      <w:r w:rsidR="00E52E61" w:rsidRPr="004449B3">
        <w:rPr>
          <w:b/>
        </w:rPr>
        <w:t>Славнефть</w:t>
      </w:r>
      <w:proofErr w:type="spellEnd"/>
      <w:r w:rsidR="00E52E61" w:rsidRPr="004449B3">
        <w:rPr>
          <w:b/>
        </w:rPr>
        <w:t>-ЯНОС»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455B92">
        <w:rPr>
          <w:b/>
        </w:rPr>
        <w:t>блоков сателлитов</w:t>
      </w:r>
      <w:r w:rsidR="003F4537">
        <w:rPr>
          <w:b/>
        </w:rPr>
        <w:t xml:space="preserve"> </w:t>
      </w:r>
      <w:r w:rsidR="00FF7351">
        <w:t>для цех</w:t>
      </w:r>
      <w:r w:rsidR="006567E4">
        <w:t>а</w:t>
      </w:r>
      <w:r w:rsidR="00455B92">
        <w:t xml:space="preserve"> №19</w:t>
      </w:r>
      <w:r w:rsidR="006567E4">
        <w:t xml:space="preserve"> </w:t>
      </w:r>
      <w:r w:rsidR="00FF7351">
        <w:t>ПАО «</w:t>
      </w:r>
      <w:proofErr w:type="spellStart"/>
      <w:r w:rsidR="00FF7351">
        <w:t>Славнефть</w:t>
      </w:r>
      <w:proofErr w:type="spellEnd"/>
      <w:r w:rsidR="00FF7351">
        <w:t>-ЯНОС»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rsidR="00934839">
        <w:t xml:space="preserve"> или ее часть, указанную в </w:t>
      </w:r>
      <w:proofErr w:type="spellStart"/>
      <w:r w:rsidR="0038054B">
        <w:t>Т</w:t>
      </w:r>
      <w:r w:rsidR="00934839">
        <w:t>ребовниях</w:t>
      </w:r>
      <w:proofErr w:type="spellEnd"/>
      <w:r w:rsidR="00934839">
        <w:t xml:space="preserve"> к предмету оферты</w:t>
      </w:r>
      <w:r w:rsidR="0038054B">
        <w:t xml:space="preserve"> в рамках неделимых лотов</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CE24A9">
        <w:rPr>
          <w:b/>
          <w:u w:val="single"/>
        </w:rPr>
        <w:t>3</w:t>
      </w:r>
      <w:r w:rsidR="002E6CDF">
        <w:rPr>
          <w:b/>
          <w:u w:val="single"/>
        </w:rPr>
        <w:t>0</w:t>
      </w:r>
      <w:r w:rsidRPr="001B6096">
        <w:rPr>
          <w:b/>
          <w:u w:val="single"/>
        </w:rPr>
        <w:t>»</w:t>
      </w:r>
      <w:r w:rsidR="00EF74EF">
        <w:rPr>
          <w:b/>
          <w:u w:val="single"/>
        </w:rPr>
        <w:t xml:space="preserve"> </w:t>
      </w:r>
      <w:r w:rsidR="00455B92">
        <w:rPr>
          <w:b/>
          <w:u w:val="single"/>
        </w:rPr>
        <w:t xml:space="preserve">декабря </w:t>
      </w:r>
      <w:r w:rsidRPr="001B6096">
        <w:rPr>
          <w:b/>
          <w:u w:val="single"/>
        </w:rPr>
        <w:t>20</w:t>
      </w:r>
      <w:r w:rsidR="00135472">
        <w:rPr>
          <w:b/>
          <w:u w:val="single"/>
        </w:rPr>
        <w:t>2</w:t>
      </w:r>
      <w:r w:rsidR="00D77B50">
        <w:rPr>
          <w:b/>
          <w:u w:val="single"/>
        </w:rPr>
        <w:t>2</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Pr="006A188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 xml:space="preserve">вору поставки с указанием цен </w:t>
      </w:r>
      <w:r w:rsidRPr="00D2157A">
        <w:t xml:space="preserve"> </w:t>
      </w:r>
      <w:r w:rsidR="003953EE">
        <w:t>(форма</w:t>
      </w:r>
      <w:r w:rsidRPr="00D2157A">
        <w:t xml:space="preserve"> </w:t>
      </w:r>
      <w:r>
        <w:t>3 или контракт</w:t>
      </w:r>
      <w:r w:rsidR="003953EE">
        <w:t>)</w:t>
      </w:r>
      <w:r>
        <w:t>;</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2E6CDF">
        <w:rPr>
          <w:b/>
          <w:u w:val="single"/>
        </w:rPr>
        <w:t>30</w:t>
      </w:r>
      <w:r w:rsidRPr="00662B80">
        <w:rPr>
          <w:b/>
          <w:u w:val="single"/>
        </w:rPr>
        <w:t xml:space="preserve">» </w:t>
      </w:r>
      <w:r w:rsidR="00455B92">
        <w:rPr>
          <w:b/>
          <w:u w:val="single"/>
        </w:rPr>
        <w:t>декабря</w:t>
      </w:r>
      <w:r w:rsidR="00BF2BD7">
        <w:rPr>
          <w:b/>
          <w:u w:val="single"/>
        </w:rPr>
        <w:t xml:space="preserve"> </w:t>
      </w:r>
      <w:r w:rsidRPr="00662B80">
        <w:rPr>
          <w:b/>
          <w:u w:val="single"/>
        </w:rPr>
        <w:t>20</w:t>
      </w:r>
      <w:r w:rsidR="00135472">
        <w:rPr>
          <w:b/>
          <w:u w:val="single"/>
        </w:rPr>
        <w:t>2</w:t>
      </w:r>
      <w:r w:rsidR="00D77B50">
        <w:rPr>
          <w:b/>
          <w:u w:val="single"/>
        </w:rPr>
        <w:t>2</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 xml:space="preserve">Общество ответит на Ваши письменные запросы, касающиеся разъяснений настоящего предложения, полученные не позднее «____» __________________ _____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Default="007C4933" w:rsidP="007C4933">
      <w:pPr>
        <w:spacing w:line="360" w:lineRule="auto"/>
        <w:ind w:firstLine="851"/>
        <w:jc w:val="both"/>
      </w:pPr>
      <w:r w:rsidRPr="001956F7">
        <w:t>По вопросам организационного характера обращаться:</w:t>
      </w:r>
    </w:p>
    <w:p w:rsidR="00AA4354" w:rsidRPr="00AA4354" w:rsidRDefault="00AA4354" w:rsidP="00AA4354">
      <w:pPr>
        <w:spacing w:after="160" w:line="259" w:lineRule="auto"/>
        <w:rPr>
          <w:rFonts w:ascii="Calibri" w:eastAsia="Calibri" w:hAnsi="Calibri"/>
          <w:b/>
          <w:lang w:eastAsia="en-US"/>
        </w:rPr>
      </w:pPr>
      <w:r w:rsidRPr="00AA4354">
        <w:rPr>
          <w:rFonts w:ascii="Calibri" w:eastAsia="Calibri" w:hAnsi="Calibri"/>
          <w:b/>
          <w:lang w:eastAsia="en-US"/>
        </w:rPr>
        <w:t>Специалист Тендерного комитета</w:t>
      </w:r>
    </w:p>
    <w:p w:rsidR="00AA4354" w:rsidRPr="00AA4354" w:rsidRDefault="00AA4354" w:rsidP="00AA4354">
      <w:pPr>
        <w:spacing w:line="259" w:lineRule="auto"/>
        <w:rPr>
          <w:rFonts w:ascii="Calibri" w:eastAsia="Calibri" w:hAnsi="Calibri"/>
          <w:b/>
          <w:bCs/>
          <w:lang w:eastAsia="en-US"/>
        </w:rPr>
      </w:pPr>
      <w:r w:rsidRPr="00AA4354">
        <w:rPr>
          <w:rFonts w:ascii="Calibri" w:eastAsia="Calibri" w:hAnsi="Calibri"/>
          <w:b/>
          <w:bCs/>
          <w:lang w:eastAsia="en-US"/>
        </w:rPr>
        <w:t>Сулейманова Ольга Дмитриевна</w:t>
      </w:r>
    </w:p>
    <w:p w:rsidR="00AA4354" w:rsidRPr="00AA4354" w:rsidRDefault="00AA4354" w:rsidP="00AA4354">
      <w:pPr>
        <w:spacing w:line="259" w:lineRule="auto"/>
        <w:rPr>
          <w:rFonts w:ascii="Calibri" w:eastAsia="Calibri" w:hAnsi="Calibri"/>
          <w:b/>
          <w:bCs/>
          <w:lang w:eastAsia="en-US"/>
        </w:rPr>
      </w:pPr>
      <w:r w:rsidRPr="00AA4354">
        <w:rPr>
          <w:rFonts w:ascii="Calibri" w:eastAsia="Calibri" w:hAnsi="Calibri"/>
          <w:b/>
          <w:bCs/>
          <w:lang w:eastAsia="en-US"/>
        </w:rPr>
        <w:t xml:space="preserve"> телефон 8 (4852) 49-91-44,  </w:t>
      </w:r>
      <w:r w:rsidRPr="00AA4354">
        <w:rPr>
          <w:rFonts w:ascii="Calibri" w:eastAsia="Calibri" w:hAnsi="Calibri"/>
          <w:b/>
          <w:bCs/>
          <w:lang w:val="en-US" w:eastAsia="en-US"/>
        </w:rPr>
        <w:t>e</w:t>
      </w:r>
      <w:r w:rsidRPr="00AA4354">
        <w:rPr>
          <w:rFonts w:ascii="Calibri" w:eastAsia="Calibri" w:hAnsi="Calibri"/>
          <w:b/>
          <w:bCs/>
          <w:lang w:eastAsia="en-US"/>
        </w:rPr>
        <w:t>-</w:t>
      </w:r>
      <w:r w:rsidRPr="00AA4354">
        <w:rPr>
          <w:rFonts w:ascii="Calibri" w:eastAsia="Calibri" w:hAnsi="Calibri"/>
          <w:b/>
          <w:bCs/>
          <w:lang w:val="en-US" w:eastAsia="en-US"/>
        </w:rPr>
        <w:t>mail</w:t>
      </w:r>
      <w:r w:rsidRPr="00AA4354">
        <w:rPr>
          <w:rFonts w:ascii="Calibri" w:eastAsia="Calibri" w:hAnsi="Calibri"/>
          <w:b/>
          <w:bCs/>
          <w:lang w:eastAsia="en-US"/>
        </w:rPr>
        <w:t xml:space="preserve">:  </w:t>
      </w:r>
      <w:hyperlink r:id="rId9" w:history="1">
        <w:r w:rsidRPr="00AA4354">
          <w:rPr>
            <w:rFonts w:ascii="Calibri" w:eastAsia="Calibri" w:hAnsi="Calibri"/>
            <w:b/>
            <w:bCs/>
            <w:color w:val="0563C1"/>
            <w:u w:val="single"/>
            <w:lang w:val="en-US" w:eastAsia="en-US"/>
          </w:rPr>
          <w:t>tender</w:t>
        </w:r>
        <w:r w:rsidRPr="00AA4354">
          <w:rPr>
            <w:rFonts w:ascii="Calibri" w:eastAsia="Calibri" w:hAnsi="Calibri"/>
            <w:b/>
            <w:bCs/>
            <w:color w:val="0563C1"/>
            <w:u w:val="single"/>
            <w:lang w:eastAsia="en-US"/>
          </w:rPr>
          <w:t>@</w:t>
        </w:r>
        <w:proofErr w:type="spellStart"/>
        <w:r w:rsidRPr="00AA4354">
          <w:rPr>
            <w:rFonts w:ascii="Calibri" w:eastAsia="Calibri" w:hAnsi="Calibri"/>
            <w:b/>
            <w:bCs/>
            <w:color w:val="0563C1"/>
            <w:u w:val="single"/>
            <w:lang w:val="en-US" w:eastAsia="en-US"/>
          </w:rPr>
          <w:t>yanos</w:t>
        </w:r>
        <w:proofErr w:type="spellEnd"/>
        <w:r w:rsidRPr="00AA4354">
          <w:rPr>
            <w:rFonts w:ascii="Calibri" w:eastAsia="Calibri" w:hAnsi="Calibri"/>
            <w:b/>
            <w:bCs/>
            <w:color w:val="0563C1"/>
            <w:u w:val="single"/>
            <w:lang w:eastAsia="en-US"/>
          </w:rPr>
          <w:t>.</w:t>
        </w:r>
        <w:proofErr w:type="spellStart"/>
        <w:r w:rsidRPr="00AA4354">
          <w:rPr>
            <w:rFonts w:ascii="Calibri" w:eastAsia="Calibri" w:hAnsi="Calibri"/>
            <w:b/>
            <w:bCs/>
            <w:color w:val="0563C1"/>
            <w:u w:val="single"/>
            <w:lang w:val="en-US" w:eastAsia="en-US"/>
          </w:rPr>
          <w:t>slavneft</w:t>
        </w:r>
        <w:proofErr w:type="spellEnd"/>
        <w:r w:rsidRPr="00AA4354">
          <w:rPr>
            <w:rFonts w:ascii="Calibri" w:eastAsia="Calibri" w:hAnsi="Calibri"/>
            <w:b/>
            <w:bCs/>
            <w:color w:val="0563C1"/>
            <w:u w:val="single"/>
            <w:lang w:eastAsia="en-US"/>
          </w:rPr>
          <w:t>.</w:t>
        </w:r>
        <w:proofErr w:type="spellStart"/>
        <w:r w:rsidRPr="00AA4354">
          <w:rPr>
            <w:rFonts w:ascii="Calibri" w:eastAsia="Calibri" w:hAnsi="Calibri"/>
            <w:b/>
            <w:bCs/>
            <w:color w:val="0563C1"/>
            <w:u w:val="single"/>
            <w:lang w:val="en-US" w:eastAsia="en-US"/>
          </w:rPr>
          <w:t>ru</w:t>
        </w:r>
        <w:proofErr w:type="spellEnd"/>
      </w:hyperlink>
    </w:p>
    <w:p w:rsidR="001F6A0B" w:rsidRDefault="001F6A0B" w:rsidP="004D6B83">
      <w:pPr>
        <w:ind w:firstLine="709"/>
        <w:jc w:val="both"/>
      </w:pPr>
      <w:bookmarkStart w:id="0" w:name="_GoBack"/>
      <w:bookmarkEnd w:id="0"/>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455B92">
        <w:t>30</w:t>
      </w:r>
      <w:r>
        <w:t xml:space="preserve"> (</w:t>
      </w:r>
      <w:r w:rsidR="00455B92">
        <w:t>Тридцати</w:t>
      </w:r>
      <w:r>
        <w:t xml:space="preserve">) календарных дней со дня ее получения. </w:t>
      </w:r>
    </w:p>
    <w:p w:rsidR="001F6A0B" w:rsidRDefault="001F6A0B" w:rsidP="001F6A0B"/>
    <w:p w:rsidR="001F6A0B" w:rsidRDefault="001F6A0B" w:rsidP="001F6A0B">
      <w:r>
        <w:t>Перечень документов в составе Предложения делать оферты № ___________ от ____________:</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2178B1">
        <w:t>4</w:t>
      </w:r>
      <w:r w:rsidRPr="00320F4C">
        <w:t>л. в 1 экз.</w:t>
      </w:r>
    </w:p>
    <w:p w:rsidR="007C4933" w:rsidRPr="00320F4C" w:rsidRDefault="00CE24A9" w:rsidP="00320F4C">
      <w:pPr>
        <w:pStyle w:val="affd"/>
        <w:numPr>
          <w:ilvl w:val="0"/>
          <w:numId w:val="31"/>
        </w:numPr>
        <w:ind w:left="0" w:firstLine="284"/>
        <w:jc w:val="both"/>
      </w:pPr>
      <w:r>
        <w:t>Форма 3 «Проект договора» на 48</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2B" w:rsidRDefault="00E56C2B">
      <w:r>
        <w:separator/>
      </w:r>
    </w:p>
  </w:endnote>
  <w:endnote w:type="continuationSeparator" w:id="0">
    <w:p w:rsidR="00E56C2B" w:rsidRDefault="00E5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2B" w:rsidRDefault="00E56C2B">
      <w:r>
        <w:separator/>
      </w:r>
    </w:p>
  </w:footnote>
  <w:footnote w:type="continuationSeparator" w:id="0">
    <w:p w:rsidR="00E56C2B" w:rsidRDefault="00E5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1C4F"/>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8B1"/>
    <w:rsid w:val="00217CB0"/>
    <w:rsid w:val="0022020C"/>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CDF"/>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C8E"/>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55B92"/>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31A"/>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77D"/>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7E4"/>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303"/>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5D7B"/>
    <w:rsid w:val="0083684A"/>
    <w:rsid w:val="0083723E"/>
    <w:rsid w:val="00840B1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46AF"/>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0C14"/>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206"/>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4354"/>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607B"/>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6F62"/>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2F5A"/>
    <w:rsid w:val="00B43381"/>
    <w:rsid w:val="00B43730"/>
    <w:rsid w:val="00B44603"/>
    <w:rsid w:val="00B4488F"/>
    <w:rsid w:val="00B44CB5"/>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17E"/>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733"/>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A3E"/>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DDA"/>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6C2B"/>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3D4"/>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B78B2"/>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0AAD"/>
    <w:rsid w:val="00EF15D6"/>
    <w:rsid w:val="00EF1BD2"/>
    <w:rsid w:val="00EF24E4"/>
    <w:rsid w:val="00EF301B"/>
    <w:rsid w:val="00EF3962"/>
    <w:rsid w:val="00EF4A17"/>
    <w:rsid w:val="00EF535C"/>
    <w:rsid w:val="00EF5ECE"/>
    <w:rsid w:val="00EF6D64"/>
    <w:rsid w:val="00EF74EF"/>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5A3B0B"/>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8F93-FD7C-4145-9E94-AA868CDD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2275</Words>
  <Characters>15957</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18196</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SuleimanovaOD</cp:lastModifiedBy>
  <cp:revision>3</cp:revision>
  <cp:lastPrinted>2022-09-07T12:35:00Z</cp:lastPrinted>
  <dcterms:created xsi:type="dcterms:W3CDTF">2022-10-11T10:58:00Z</dcterms:created>
  <dcterms:modified xsi:type="dcterms:W3CDTF">2022-10-25T10:28:00Z</dcterms:modified>
</cp:coreProperties>
</file>